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6138" w14:textId="605AB3A8" w:rsidR="00FE067E" w:rsidRDefault="003C6034" w:rsidP="00CC1F3B">
      <w:pPr>
        <w:pStyle w:val="TitlePageOrigin"/>
      </w:pPr>
      <w:r>
        <w:rPr>
          <w:caps w:val="0"/>
        </w:rPr>
        <w:t>WEST VIRGINIA LEGISLATURE</w:t>
      </w:r>
    </w:p>
    <w:p w14:paraId="4D1D52F2"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903F131" w14:textId="77777777" w:rsidR="00CD36CF" w:rsidRDefault="003D7EFF" w:rsidP="00CC1F3B">
      <w:pPr>
        <w:pStyle w:val="TitlePageBillPrefix"/>
      </w:pPr>
      <w:sdt>
        <w:sdtPr>
          <w:tag w:val="IntroDate"/>
          <w:id w:val="-1236936958"/>
          <w:placeholder>
            <w:docPart w:val="BF6281E782FB414C99944F42D30DAF2C"/>
          </w:placeholder>
          <w:text/>
        </w:sdtPr>
        <w:sdtEndPr/>
        <w:sdtContent>
          <w:r w:rsidR="00AE48A0">
            <w:t>Introduced</w:t>
          </w:r>
        </w:sdtContent>
      </w:sdt>
    </w:p>
    <w:p w14:paraId="2748D87E" w14:textId="21A73F9F" w:rsidR="00CD36CF" w:rsidRDefault="003D7EFF" w:rsidP="00CC1F3B">
      <w:pPr>
        <w:pStyle w:val="BillNumber"/>
      </w:pPr>
      <w:sdt>
        <w:sdtPr>
          <w:tag w:val="Chamber"/>
          <w:id w:val="893011969"/>
          <w:lock w:val="sdtLocked"/>
          <w:placeholder>
            <w:docPart w:val="8EA0860A81D745E3B1869143DC65F1EF"/>
          </w:placeholder>
          <w:dropDownList>
            <w:listItem w:displayText="House" w:value="House"/>
            <w:listItem w:displayText="Senate" w:value="Senate"/>
          </w:dropDownList>
        </w:sdtPr>
        <w:sdtEndPr/>
        <w:sdtContent>
          <w:r w:rsidR="00BD6755">
            <w:t>Senate</w:t>
          </w:r>
        </w:sdtContent>
      </w:sdt>
      <w:r w:rsidR="00303684">
        <w:t xml:space="preserve"> </w:t>
      </w:r>
      <w:r w:rsidR="00CD36CF">
        <w:t xml:space="preserve">Bill </w:t>
      </w:r>
      <w:sdt>
        <w:sdtPr>
          <w:tag w:val="BNum"/>
          <w:id w:val="1645317809"/>
          <w:lock w:val="sdtLocked"/>
          <w:placeholder>
            <w:docPart w:val="7CB3AEDF4B3D4054AD8F2F6C2287158A"/>
          </w:placeholder>
          <w:text/>
        </w:sdtPr>
        <w:sdtEndPr/>
        <w:sdtContent>
          <w:r w:rsidR="001B6DD9">
            <w:t>839</w:t>
          </w:r>
        </w:sdtContent>
      </w:sdt>
    </w:p>
    <w:p w14:paraId="30A61EA2" w14:textId="050E9554" w:rsidR="00CD36CF" w:rsidRDefault="00CD36CF" w:rsidP="00CC1F3B">
      <w:pPr>
        <w:pStyle w:val="Sponsors"/>
      </w:pPr>
      <w:r>
        <w:t>By</w:t>
      </w:r>
      <w:r w:rsidR="00BD6755">
        <w:t xml:space="preserve"> Senator</w:t>
      </w:r>
      <w:r w:rsidR="00022DA1">
        <w:t>s</w:t>
      </w:r>
      <w:r w:rsidR="00BD6755">
        <w:t xml:space="preserve"> </w:t>
      </w:r>
      <w:r>
        <w:t xml:space="preserve"> </w:t>
      </w:r>
      <w:sdt>
        <w:sdtPr>
          <w:tag w:val="Sponsors"/>
          <w:id w:val="1589585889"/>
          <w:placeholder>
            <w:docPart w:val="E36D9C7452624FB89D954D0C3458E50C"/>
          </w:placeholder>
          <w:text w:multiLine="1"/>
        </w:sdtPr>
        <w:sdtEndPr/>
        <w:sdtContent>
          <w:r w:rsidR="00BD6755">
            <w:t>Clements</w:t>
          </w:r>
        </w:sdtContent>
      </w:sdt>
      <w:r w:rsidR="00022DA1">
        <w:t>, Maynard, and Rose</w:t>
      </w:r>
    </w:p>
    <w:p w14:paraId="79D0C322" w14:textId="77777777" w:rsidR="00FA7ED4" w:rsidRDefault="00CD36CF" w:rsidP="00CC1F3B">
      <w:pPr>
        <w:pStyle w:val="References"/>
        <w:sectPr w:rsidR="00FA7ED4" w:rsidSect="00BD675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3F10838250B43D6AFC204EA0B4565A5"/>
          </w:placeholder>
          <w:text w:multiLine="1"/>
        </w:sdtPr>
        <w:sdtEndPr/>
        <w:sdtContent>
          <w:r w:rsidR="001B6DD9" w:rsidRPr="001B6DD9">
            <w:rPr>
              <w:color w:val="auto"/>
            </w:rPr>
            <w:t>Introduced March 20, 2025; referred</w:t>
          </w:r>
          <w:r w:rsidR="001B6DD9" w:rsidRPr="001B6DD9">
            <w:rPr>
              <w:color w:val="auto"/>
            </w:rPr>
            <w:br/>
            <w:t xml:space="preserve">to the Committee on </w:t>
          </w:r>
          <w:r w:rsidR="00194937">
            <w:rPr>
              <w:color w:val="auto"/>
            </w:rPr>
            <w:t>Government Organization; and then to the Committee on Finance</w:t>
          </w:r>
        </w:sdtContent>
      </w:sdt>
      <w:r>
        <w:t>]</w:t>
      </w:r>
    </w:p>
    <w:p w14:paraId="6FF203EA" w14:textId="6E5688E0" w:rsidR="00E831B3" w:rsidRDefault="00E831B3" w:rsidP="00CC1F3B">
      <w:pPr>
        <w:pStyle w:val="References"/>
      </w:pPr>
    </w:p>
    <w:p w14:paraId="328D2AC2" w14:textId="11F40FAE" w:rsidR="00303684" w:rsidRDefault="0000526A" w:rsidP="00887D28">
      <w:pPr>
        <w:pStyle w:val="TitleSection"/>
      </w:pPr>
      <w:r>
        <w:lastRenderedPageBreak/>
        <w:t>A BILL</w:t>
      </w:r>
      <w:r w:rsidR="00BD6755">
        <w:t xml:space="preserve"> to amend and reenact §21-14-2 and §21-14-4 of the Code of West Virginia, 1931, as amended, relating to </w:t>
      </w:r>
      <w:r w:rsidR="0066364A">
        <w:t xml:space="preserve">the Division of Labor; </w:t>
      </w:r>
      <w:r w:rsidR="000B3B70">
        <w:t>defini</w:t>
      </w:r>
      <w:r w:rsidR="001B6DD9">
        <w:t>ng “</w:t>
      </w:r>
      <w:r w:rsidR="000B3B70">
        <w:t>plumbing</w:t>
      </w:r>
      <w:r w:rsidR="001B6DD9">
        <w:t>”</w:t>
      </w:r>
      <w:r w:rsidR="000B3B70">
        <w:t xml:space="preserve"> work; and </w:t>
      </w:r>
      <w:r w:rsidR="008C27EF">
        <w:t xml:space="preserve">requiring the </w:t>
      </w:r>
      <w:r w:rsidR="000B3B70">
        <w:t xml:space="preserve">Commissioner of </w:t>
      </w:r>
      <w:r w:rsidR="001B6DD9">
        <w:t xml:space="preserve">the Division of </w:t>
      </w:r>
      <w:r w:rsidR="000B3B70">
        <w:t>Labor to propose separate rules for plumbers who</w:t>
      </w:r>
      <w:r w:rsidR="000B3B70" w:rsidRPr="000B3B70">
        <w:t xml:space="preserve"> work in a residential dwelling or in a commercial building or facility</w:t>
      </w:r>
      <w:r w:rsidR="000B3B70">
        <w:t>.</w:t>
      </w:r>
    </w:p>
    <w:p w14:paraId="6CAE2CF7" w14:textId="77777777" w:rsidR="00303684" w:rsidRDefault="00303684" w:rsidP="00887D28">
      <w:pPr>
        <w:pStyle w:val="EnactingClause"/>
      </w:pPr>
      <w:r>
        <w:t>Be it enacted by the Legislature of West Virginia:</w:t>
      </w:r>
    </w:p>
    <w:p w14:paraId="70FFED6C" w14:textId="77777777" w:rsidR="003C6034" w:rsidRDefault="003C6034" w:rsidP="00887D28">
      <w:pPr>
        <w:pStyle w:val="EnactingClause"/>
        <w:sectPr w:rsidR="003C6034" w:rsidSect="00FA7ED4">
          <w:pgSz w:w="12240" w:h="15840" w:code="1"/>
          <w:pgMar w:top="1440" w:right="1440" w:bottom="1440" w:left="1440" w:header="720" w:footer="720" w:gutter="0"/>
          <w:lnNumType w:countBy="1" w:restart="newSection"/>
          <w:pgNumType w:start="0"/>
          <w:cols w:space="720"/>
          <w:titlePg/>
          <w:docGrid w:linePitch="360"/>
        </w:sectPr>
      </w:pPr>
    </w:p>
    <w:p w14:paraId="0B8496F2" w14:textId="77777777" w:rsidR="00BD6755" w:rsidRDefault="00BD6755" w:rsidP="00887D28">
      <w:pPr>
        <w:pStyle w:val="ArticleHeading"/>
        <w:widowControl/>
        <w:sectPr w:rsidR="00BD6755" w:rsidSect="00BD6755">
          <w:type w:val="continuous"/>
          <w:pgSz w:w="12240" w:h="15840" w:code="1"/>
          <w:pgMar w:top="1440" w:right="1440" w:bottom="1440" w:left="1440" w:header="720" w:footer="720" w:gutter="0"/>
          <w:lnNumType w:countBy="1" w:restart="newSection"/>
          <w:cols w:space="720"/>
          <w:titlePg/>
          <w:docGrid w:linePitch="360"/>
        </w:sectPr>
      </w:pPr>
      <w:r>
        <w:t>ARTICLE 14. SUPERVISION OF PLUMBING WORK.</w:t>
      </w:r>
    </w:p>
    <w:p w14:paraId="31C4B1FC" w14:textId="77777777" w:rsidR="00BD6755" w:rsidRPr="00E46CD1" w:rsidRDefault="00BD6755" w:rsidP="00887D28">
      <w:pPr>
        <w:pStyle w:val="SectionHeading"/>
        <w:widowControl/>
      </w:pPr>
      <w:r w:rsidRPr="00E46CD1">
        <w:t>§21-14-2. Definitions.</w:t>
      </w:r>
    </w:p>
    <w:p w14:paraId="61ECDBC6" w14:textId="77777777" w:rsidR="00BD6755" w:rsidRDefault="00BD6755" w:rsidP="00887D28">
      <w:pPr>
        <w:pStyle w:val="SectionBody"/>
        <w:widowControl/>
        <w:sectPr w:rsidR="00BD6755" w:rsidSect="00BD6755">
          <w:type w:val="continuous"/>
          <w:pgSz w:w="12240" w:h="15840" w:code="1"/>
          <w:pgMar w:top="1440" w:right="1440" w:bottom="1440" w:left="1440" w:header="720" w:footer="720" w:gutter="0"/>
          <w:lnNumType w:countBy="1" w:restart="newSection"/>
          <w:cols w:space="720"/>
          <w:titlePg/>
          <w:docGrid w:linePitch="360"/>
        </w:sectPr>
      </w:pPr>
    </w:p>
    <w:p w14:paraId="56B822DB" w14:textId="77777777" w:rsidR="00BD6755" w:rsidRPr="00E46CD1" w:rsidRDefault="00BD6755" w:rsidP="00887D28">
      <w:pPr>
        <w:pStyle w:val="SectionBody"/>
        <w:widowControl/>
      </w:pPr>
      <w:r w:rsidRPr="00E46CD1">
        <w:t>As used in this article:</w:t>
      </w:r>
    </w:p>
    <w:p w14:paraId="711E02EC" w14:textId="25DB3CBD" w:rsidR="00BD6755" w:rsidRPr="00E46CD1" w:rsidRDefault="00BD6755" w:rsidP="00887D28">
      <w:pPr>
        <w:pStyle w:val="SectionBody"/>
        <w:widowControl/>
      </w:pPr>
      <w:r w:rsidRPr="007F7546">
        <w:rPr>
          <w:strike/>
        </w:rPr>
        <w:t>(a)</w:t>
      </w:r>
      <w:r w:rsidRPr="00E46CD1">
        <w:t xml:space="preserve"> </w:t>
      </w:r>
      <w:r w:rsidR="000B3B70">
        <w:t>"</w:t>
      </w:r>
      <w:r w:rsidRPr="00E46CD1">
        <w:t>License</w:t>
      </w:r>
      <w:r w:rsidR="000B3B70">
        <w:t>"</w:t>
      </w:r>
      <w:r w:rsidRPr="00E46CD1">
        <w:t xml:space="preserve"> means a valid and current license issued by the Commissioner of Labor in accordance with the provisions of this article.</w:t>
      </w:r>
    </w:p>
    <w:p w14:paraId="27630FFF" w14:textId="6C0C28A9" w:rsidR="00BD6755" w:rsidRPr="00E46CD1" w:rsidRDefault="00BD6755" w:rsidP="00887D28">
      <w:pPr>
        <w:pStyle w:val="SectionBody"/>
        <w:widowControl/>
      </w:pPr>
      <w:r w:rsidRPr="007F7546">
        <w:rPr>
          <w:strike/>
        </w:rPr>
        <w:t>(b)</w:t>
      </w:r>
      <w:r w:rsidRPr="00E46CD1">
        <w:t xml:space="preserve"> </w:t>
      </w:r>
      <w:r w:rsidR="000B3B70">
        <w:t>"</w:t>
      </w:r>
      <w:r w:rsidRPr="00E46CD1">
        <w:t>Journeyman plumber</w:t>
      </w:r>
      <w:r w:rsidR="000B3B70">
        <w:t>"</w:t>
      </w:r>
      <w:r w:rsidRPr="00E46CD1">
        <w:t xml:space="preserve"> means a person qualified by passage of a journeyman plumber written examination with a score of at least 70 percent and who is competent to instruct and supervise the work of a plumber in training.</w:t>
      </w:r>
    </w:p>
    <w:p w14:paraId="1E6971A5" w14:textId="56FF6434" w:rsidR="00BD6755" w:rsidRPr="00E46CD1" w:rsidRDefault="00BD6755" w:rsidP="00887D28">
      <w:pPr>
        <w:pStyle w:val="SectionBody"/>
        <w:widowControl/>
      </w:pPr>
      <w:r w:rsidRPr="007F7546">
        <w:rPr>
          <w:strike/>
        </w:rPr>
        <w:t>(c)</w:t>
      </w:r>
      <w:r w:rsidRPr="00E46CD1">
        <w:t xml:space="preserve"> </w:t>
      </w:r>
      <w:r w:rsidR="000B3B70">
        <w:t>"</w:t>
      </w:r>
      <w:r w:rsidRPr="00E46CD1">
        <w:t>Master plumber</w:t>
      </w:r>
      <w:r w:rsidR="000B3B70">
        <w:t>"</w:t>
      </w:r>
      <w:r w:rsidRPr="00E46CD1">
        <w:t xml:space="preserve"> means a person who has passed a master plumber written examination with a score of at least 70 percent and who is competent to design plumbing systems, and to instruct and supervise the plumbing work of journeyman plumbers, and plumbers in training: </w:t>
      </w:r>
      <w:r w:rsidRPr="00A46BE7">
        <w:rPr>
          <w:i/>
        </w:rPr>
        <w:t>Provided</w:t>
      </w:r>
      <w:r w:rsidRPr="00E46CD1">
        <w:rPr>
          <w:iCs/>
        </w:rPr>
        <w:t>,</w:t>
      </w:r>
      <w:r w:rsidRPr="00E46CD1">
        <w:t xml:space="preserve"> That the master plumber written examination may not be taken until one year after passage of the journeyman plumber examination.</w:t>
      </w:r>
    </w:p>
    <w:p w14:paraId="4E398FC5" w14:textId="5EE65ADE" w:rsidR="00BD6755" w:rsidRPr="00E46CD1" w:rsidRDefault="00BD6755" w:rsidP="00887D28">
      <w:pPr>
        <w:pStyle w:val="SectionBody"/>
        <w:widowControl/>
      </w:pPr>
      <w:r w:rsidRPr="007F7546">
        <w:rPr>
          <w:strike/>
        </w:rPr>
        <w:t>(d)</w:t>
      </w:r>
      <w:r w:rsidRPr="00E46CD1">
        <w:t xml:space="preserve"> </w:t>
      </w:r>
      <w:r w:rsidR="000B3B70">
        <w:t>"</w:t>
      </w:r>
      <w:r w:rsidRPr="00E46CD1">
        <w:t>Plumber in training</w:t>
      </w:r>
      <w:r w:rsidR="000B3B70">
        <w:t>"</w:t>
      </w:r>
      <w:r w:rsidRPr="00E46CD1">
        <w:t xml:space="preserve"> means a person who has not passed the journeyman plumber examination: </w:t>
      </w:r>
      <w:r w:rsidRPr="00A46BE7">
        <w:rPr>
          <w:i/>
        </w:rPr>
        <w:t>Provided</w:t>
      </w:r>
      <w:r w:rsidRPr="00E46CD1">
        <w:t xml:space="preserve">, That the fee for plumbers in training may not be higher than $25. </w:t>
      </w:r>
    </w:p>
    <w:p w14:paraId="114D67B0" w14:textId="50D03AF8" w:rsidR="00BD6755" w:rsidRPr="00E46CD1" w:rsidRDefault="00BD6755" w:rsidP="00887D28">
      <w:pPr>
        <w:pStyle w:val="SectionBody"/>
        <w:widowControl/>
      </w:pPr>
      <w:r w:rsidRPr="007F7546">
        <w:rPr>
          <w:strike/>
        </w:rPr>
        <w:t>(e)</w:t>
      </w:r>
      <w:r w:rsidRPr="00E46CD1">
        <w:t xml:space="preserve"> </w:t>
      </w:r>
      <w:r w:rsidR="000B3B70">
        <w:t>"</w:t>
      </w:r>
      <w:r w:rsidRPr="00E46CD1">
        <w:t>Plumbing</w:t>
      </w:r>
      <w:r w:rsidR="000B3B70">
        <w:t>"</w:t>
      </w:r>
      <w:r w:rsidRPr="00E46CD1">
        <w:t xml:space="preserve"> means the practice, materials, and fixtures utilized within a building in the installation, extension, and alteration of all piping, fixtures, water treatment devices, plumbing appliances, and appurtenances, in connection with sanitary drainage or storm drainage facilities; the plumbing venting systems; medical gas systems; fuel oil and gas piping for residential, </w:t>
      </w:r>
      <w:r w:rsidRPr="00BD6755">
        <w:rPr>
          <w:u w:val="single"/>
        </w:rPr>
        <w:t>nonresidential,</w:t>
      </w:r>
      <w:r>
        <w:t xml:space="preserve"> </w:t>
      </w:r>
      <w:r w:rsidRPr="00E46CD1">
        <w:t>commercial, and institutional facilities; backflow preventers; and public or private water supply systems, as defined by the state building code.</w:t>
      </w:r>
    </w:p>
    <w:p w14:paraId="618F8CB9" w14:textId="7F8F1ACB" w:rsidR="00BD6755" w:rsidRPr="00FC4305" w:rsidRDefault="00BD6755" w:rsidP="00887D28">
      <w:pPr>
        <w:pStyle w:val="SectionBody"/>
        <w:widowControl/>
      </w:pPr>
      <w:r w:rsidRPr="007F7546">
        <w:rPr>
          <w:strike/>
        </w:rPr>
        <w:lastRenderedPageBreak/>
        <w:t>(f)</w:t>
      </w:r>
      <w:r w:rsidRPr="00E46CD1">
        <w:t xml:space="preserve"> </w:t>
      </w:r>
      <w:r w:rsidR="000B3B70">
        <w:t>"</w:t>
      </w:r>
      <w:r w:rsidRPr="00E46CD1">
        <w:t>Single family dwelling</w:t>
      </w:r>
      <w:r w:rsidR="000B3B70">
        <w:t>"</w:t>
      </w:r>
      <w:r w:rsidRPr="00E46CD1">
        <w:t xml:space="preserve"> means a building which is occupied as, or designed or intended for occupancy as, a single residence for one or more persons.</w:t>
      </w:r>
    </w:p>
    <w:p w14:paraId="69A97B82" w14:textId="77777777" w:rsidR="003F440E" w:rsidRDefault="00BD6755" w:rsidP="00887D28">
      <w:pPr>
        <w:pStyle w:val="SectionHeading"/>
        <w:widowControl/>
        <w:sectPr w:rsidR="003F440E" w:rsidSect="00BD6755">
          <w:type w:val="continuous"/>
          <w:pgSz w:w="12240" w:h="15840" w:code="1"/>
          <w:pgMar w:top="1440" w:right="1440" w:bottom="1440" w:left="1440" w:header="720" w:footer="720" w:gutter="0"/>
          <w:lnNumType w:countBy="1" w:restart="newSection"/>
          <w:cols w:space="720"/>
          <w:titlePg/>
          <w:docGrid w:linePitch="360"/>
        </w:sectPr>
      </w:pPr>
      <w:r>
        <w:t>§21-14-4. Rule-making authority.</w:t>
      </w:r>
    </w:p>
    <w:p w14:paraId="674B53D8" w14:textId="3D6384F5" w:rsidR="00BD6755" w:rsidRDefault="00BD6755" w:rsidP="00887D28">
      <w:pPr>
        <w:pStyle w:val="SectionBody"/>
        <w:widowControl/>
      </w:pPr>
      <w:r>
        <w:t>The Commissioner of Labor shall propose rules for legislative approval, in accordance with the provisions of §29A-3-1</w:t>
      </w:r>
      <w:r w:rsidR="00A46BE7" w:rsidRPr="00A46BE7">
        <w:rPr>
          <w:i/>
        </w:rPr>
        <w:t xml:space="preserve"> et seq. </w:t>
      </w:r>
      <w:r>
        <w:t>of this code, for the implementation and enforcement of the provisions of this article, which shall provide:</w:t>
      </w:r>
    </w:p>
    <w:p w14:paraId="4FDC720A" w14:textId="249963DC" w:rsidR="00BD6755" w:rsidRDefault="00BD6755" w:rsidP="00887D28">
      <w:pPr>
        <w:pStyle w:val="SectionBody"/>
        <w:widowControl/>
      </w:pPr>
      <w:r>
        <w:t>(1) Standards and procedures for issuing and renewing licenses, including classifications of licenses as defined in this article, applications, examinations and qualifications</w:t>
      </w:r>
      <w:r w:rsidR="00CE5D9D">
        <w:t xml:space="preserve">, </w:t>
      </w:r>
      <w:r w:rsidR="00CE5D9D" w:rsidRPr="00CE5D9D">
        <w:rPr>
          <w:u w:val="single"/>
        </w:rPr>
        <w:t>including</w:t>
      </w:r>
      <w:r w:rsidR="00CE5D9D">
        <w:t xml:space="preserve"> </w:t>
      </w:r>
      <w:r w:rsidR="00CE5D9D" w:rsidRPr="00CE5D9D">
        <w:rPr>
          <w:u w:val="single"/>
        </w:rPr>
        <w:t>separate rules for</w:t>
      </w:r>
      <w:r w:rsidR="008C27EF">
        <w:rPr>
          <w:u w:val="single"/>
        </w:rPr>
        <w:t xml:space="preserve"> plumbers who work in </w:t>
      </w:r>
      <w:r w:rsidR="000B3B70">
        <w:rPr>
          <w:u w:val="single"/>
        </w:rPr>
        <w:t xml:space="preserve">a </w:t>
      </w:r>
      <w:r w:rsidR="008C27EF">
        <w:rPr>
          <w:u w:val="single"/>
        </w:rPr>
        <w:t>residential dwelling or in a commercial building or facility</w:t>
      </w:r>
      <w:r>
        <w:t>;</w:t>
      </w:r>
    </w:p>
    <w:p w14:paraId="570FCB0A" w14:textId="77777777" w:rsidR="00BD6755" w:rsidRDefault="00BD6755" w:rsidP="00887D28">
      <w:pPr>
        <w:pStyle w:val="SectionBody"/>
        <w:widowControl/>
      </w:pPr>
      <w:r>
        <w:t xml:space="preserve">(2) Provisions for the granting of licenses without examination, to applicants who present satisfactory evidence of having the expertise required to perform work at the level of the classifications defined in this article and who apply for licensure on or before July 1, 2009: </w:t>
      </w:r>
      <w:r w:rsidRPr="00A46BE7">
        <w:rPr>
          <w:i/>
          <w:iCs/>
        </w:rPr>
        <w:t>Provided</w:t>
      </w:r>
      <w:r>
        <w:rPr>
          <w:i/>
          <w:iCs/>
        </w:rPr>
        <w:t>,</w:t>
      </w:r>
      <w:r>
        <w:t xml:space="preserve"> That if a license issued under the authority of this subsection subsequently lapses, the applicant is subject to all licensure requirements, including the examination;</w:t>
      </w:r>
    </w:p>
    <w:p w14:paraId="13ED1D92" w14:textId="77777777" w:rsidR="00BD6755" w:rsidRDefault="00BD6755" w:rsidP="00887D28">
      <w:pPr>
        <w:pStyle w:val="SectionBody"/>
        <w:widowControl/>
      </w:pPr>
      <w:r>
        <w:t>(3) Reciprocity provisions;</w:t>
      </w:r>
    </w:p>
    <w:p w14:paraId="0A9422D7" w14:textId="77777777" w:rsidR="00BD6755" w:rsidRDefault="00BD6755" w:rsidP="00887D28">
      <w:pPr>
        <w:pStyle w:val="SectionBody"/>
        <w:widowControl/>
      </w:pPr>
      <w:r>
        <w:t>(4) Procedures for investigating complaints and revoking or suspending licenses, including appeal procedures;</w:t>
      </w:r>
    </w:p>
    <w:p w14:paraId="70093971" w14:textId="0E2B2D35" w:rsidR="00BD6755" w:rsidRDefault="00BD6755" w:rsidP="00887D28">
      <w:pPr>
        <w:pStyle w:val="SectionBody"/>
        <w:widowControl/>
      </w:pPr>
      <w:r>
        <w:t>(5) Fees for testing, issuance</w:t>
      </w:r>
      <w:r w:rsidR="00311449">
        <w:t>,</w:t>
      </w:r>
      <w:r>
        <w:t xml:space="preserve"> and renewal of licenses, and other costs necessary to administer the provisions of this article;</w:t>
      </w:r>
    </w:p>
    <w:p w14:paraId="2CED8BC1" w14:textId="77777777" w:rsidR="00BD6755" w:rsidRDefault="00BD6755" w:rsidP="00887D28">
      <w:pPr>
        <w:pStyle w:val="SectionBody"/>
        <w:widowControl/>
      </w:pPr>
      <w:r>
        <w:t>(6) Enforcement procedures; and</w:t>
      </w:r>
    </w:p>
    <w:p w14:paraId="47C40791" w14:textId="6BBFB682" w:rsidR="006865E9" w:rsidRPr="00303684" w:rsidRDefault="00BD6755" w:rsidP="00887D28">
      <w:pPr>
        <w:pStyle w:val="SectionBody"/>
        <w:widowControl/>
      </w:pPr>
      <w:r>
        <w:t>(7) Any other rules necessary to effectuate the purposes of this article.</w:t>
      </w:r>
      <w:r w:rsidR="003F440E">
        <w:t xml:space="preserve"> </w:t>
      </w:r>
    </w:p>
    <w:sectPr w:rsidR="006865E9" w:rsidRPr="00303684" w:rsidSect="00BD675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F6C6D" w14:textId="77777777" w:rsidR="00BD6755" w:rsidRPr="00B844FE" w:rsidRDefault="00BD6755" w:rsidP="00B844FE">
      <w:r>
        <w:separator/>
      </w:r>
    </w:p>
  </w:endnote>
  <w:endnote w:type="continuationSeparator" w:id="0">
    <w:p w14:paraId="6B89AF45" w14:textId="77777777" w:rsidR="00BD6755" w:rsidRPr="00B844FE" w:rsidRDefault="00BD67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581D0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5D579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46D71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BECE" w14:textId="77777777" w:rsidR="00BD6755" w:rsidRPr="00B844FE" w:rsidRDefault="00BD6755" w:rsidP="00B844FE">
      <w:r>
        <w:separator/>
      </w:r>
    </w:p>
  </w:footnote>
  <w:footnote w:type="continuationSeparator" w:id="0">
    <w:p w14:paraId="21F76642" w14:textId="77777777" w:rsidR="00BD6755" w:rsidRPr="00B844FE" w:rsidRDefault="00BD67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44AF" w14:textId="34FA4CF4" w:rsidR="002A0269" w:rsidRPr="00B844FE" w:rsidRDefault="003D7EFF">
    <w:pPr>
      <w:pStyle w:val="Header"/>
    </w:pPr>
    <w:sdt>
      <w:sdtPr>
        <w:id w:val="-684364211"/>
        <w:placeholder>
          <w:docPart w:val="8EA0860A81D745E3B1869143DC65F1EF"/>
        </w:placeholder>
        <w:temporary/>
        <w:showingPlcHdr/>
        <w15:appearance w15:val="hidden"/>
      </w:sdtPr>
      <w:sdtEndPr/>
      <w:sdtContent>
        <w:r w:rsidR="00FA7ED4" w:rsidRPr="00B844FE">
          <w:t>[Type here]</w:t>
        </w:r>
      </w:sdtContent>
    </w:sdt>
    <w:r w:rsidR="002A0269" w:rsidRPr="00B844FE">
      <w:ptab w:relativeTo="margin" w:alignment="left" w:leader="none"/>
    </w:r>
    <w:sdt>
      <w:sdtPr>
        <w:id w:val="-556240388"/>
        <w:placeholder>
          <w:docPart w:val="8EA0860A81D745E3B1869143DC65F1EF"/>
        </w:placeholder>
        <w:temporary/>
        <w:showingPlcHdr/>
        <w15:appearance w15:val="hidden"/>
      </w:sdtPr>
      <w:sdtEndPr/>
      <w:sdtContent>
        <w:r w:rsidR="00FA7ED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86C7" w14:textId="5DF21DD3" w:rsidR="005C29D7" w:rsidRDefault="005C29D7">
    <w:pPr>
      <w:pStyle w:val="Header"/>
    </w:pPr>
    <w:r>
      <w:t>Intr SB 839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4FE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55"/>
    <w:rsid w:val="000011B4"/>
    <w:rsid w:val="00004182"/>
    <w:rsid w:val="0000526A"/>
    <w:rsid w:val="00022DA1"/>
    <w:rsid w:val="000266FA"/>
    <w:rsid w:val="000573A9"/>
    <w:rsid w:val="00085D22"/>
    <w:rsid w:val="00093AB0"/>
    <w:rsid w:val="000B3B70"/>
    <w:rsid w:val="000C5C77"/>
    <w:rsid w:val="000D1209"/>
    <w:rsid w:val="000E3912"/>
    <w:rsid w:val="0010070F"/>
    <w:rsid w:val="0015112E"/>
    <w:rsid w:val="001552E7"/>
    <w:rsid w:val="001566B4"/>
    <w:rsid w:val="00194937"/>
    <w:rsid w:val="001A66B7"/>
    <w:rsid w:val="001B6DD9"/>
    <w:rsid w:val="001C279E"/>
    <w:rsid w:val="001D459E"/>
    <w:rsid w:val="001D5F71"/>
    <w:rsid w:val="002050FE"/>
    <w:rsid w:val="00211F02"/>
    <w:rsid w:val="0022348D"/>
    <w:rsid w:val="0027011C"/>
    <w:rsid w:val="00274200"/>
    <w:rsid w:val="00275740"/>
    <w:rsid w:val="002A0269"/>
    <w:rsid w:val="00303684"/>
    <w:rsid w:val="00311449"/>
    <w:rsid w:val="003143F5"/>
    <w:rsid w:val="00314854"/>
    <w:rsid w:val="00394191"/>
    <w:rsid w:val="003C51CD"/>
    <w:rsid w:val="003C6034"/>
    <w:rsid w:val="003D7EFF"/>
    <w:rsid w:val="003F440E"/>
    <w:rsid w:val="003F5D45"/>
    <w:rsid w:val="00400B5C"/>
    <w:rsid w:val="004368E0"/>
    <w:rsid w:val="004C13DD"/>
    <w:rsid w:val="004D3ABE"/>
    <w:rsid w:val="004E3441"/>
    <w:rsid w:val="00500579"/>
    <w:rsid w:val="005333CA"/>
    <w:rsid w:val="00570A6C"/>
    <w:rsid w:val="00577CB1"/>
    <w:rsid w:val="005A01D0"/>
    <w:rsid w:val="005A5366"/>
    <w:rsid w:val="005A75B1"/>
    <w:rsid w:val="005C29D7"/>
    <w:rsid w:val="0063638E"/>
    <w:rsid w:val="006369EB"/>
    <w:rsid w:val="00637E73"/>
    <w:rsid w:val="0066364A"/>
    <w:rsid w:val="006865E9"/>
    <w:rsid w:val="00686E9A"/>
    <w:rsid w:val="00691F3E"/>
    <w:rsid w:val="00694BFB"/>
    <w:rsid w:val="006A106B"/>
    <w:rsid w:val="006C523D"/>
    <w:rsid w:val="006D4036"/>
    <w:rsid w:val="007A5259"/>
    <w:rsid w:val="007A7081"/>
    <w:rsid w:val="007F1CF5"/>
    <w:rsid w:val="007F7546"/>
    <w:rsid w:val="00834EDE"/>
    <w:rsid w:val="008736AA"/>
    <w:rsid w:val="00887D28"/>
    <w:rsid w:val="008C27EF"/>
    <w:rsid w:val="008D275D"/>
    <w:rsid w:val="00946186"/>
    <w:rsid w:val="00980327"/>
    <w:rsid w:val="00986478"/>
    <w:rsid w:val="009B5557"/>
    <w:rsid w:val="009F1067"/>
    <w:rsid w:val="00A31E01"/>
    <w:rsid w:val="00A436C4"/>
    <w:rsid w:val="00A46BE7"/>
    <w:rsid w:val="00A527AD"/>
    <w:rsid w:val="00A718CF"/>
    <w:rsid w:val="00AA069B"/>
    <w:rsid w:val="00AE48A0"/>
    <w:rsid w:val="00AE61BE"/>
    <w:rsid w:val="00B16F25"/>
    <w:rsid w:val="00B24422"/>
    <w:rsid w:val="00B66B81"/>
    <w:rsid w:val="00B71E6F"/>
    <w:rsid w:val="00B80C20"/>
    <w:rsid w:val="00B844FE"/>
    <w:rsid w:val="00B86B4F"/>
    <w:rsid w:val="00BA1F84"/>
    <w:rsid w:val="00BC562B"/>
    <w:rsid w:val="00BD5B19"/>
    <w:rsid w:val="00BD6755"/>
    <w:rsid w:val="00BD73C3"/>
    <w:rsid w:val="00C33014"/>
    <w:rsid w:val="00C33434"/>
    <w:rsid w:val="00C34869"/>
    <w:rsid w:val="00C42EB6"/>
    <w:rsid w:val="00C62327"/>
    <w:rsid w:val="00C85096"/>
    <w:rsid w:val="00C94F5F"/>
    <w:rsid w:val="00CB20EF"/>
    <w:rsid w:val="00CC1F3B"/>
    <w:rsid w:val="00CD12CB"/>
    <w:rsid w:val="00CD21B2"/>
    <w:rsid w:val="00CD36CF"/>
    <w:rsid w:val="00CE5D9D"/>
    <w:rsid w:val="00CF1DCA"/>
    <w:rsid w:val="00D04B57"/>
    <w:rsid w:val="00D579FC"/>
    <w:rsid w:val="00D81C16"/>
    <w:rsid w:val="00DA127B"/>
    <w:rsid w:val="00DE526B"/>
    <w:rsid w:val="00DF199D"/>
    <w:rsid w:val="00DF20C6"/>
    <w:rsid w:val="00E01542"/>
    <w:rsid w:val="00E365F1"/>
    <w:rsid w:val="00E62F48"/>
    <w:rsid w:val="00E831B3"/>
    <w:rsid w:val="00E95FBC"/>
    <w:rsid w:val="00EC5E63"/>
    <w:rsid w:val="00EE70CB"/>
    <w:rsid w:val="00EE74E6"/>
    <w:rsid w:val="00EF422E"/>
    <w:rsid w:val="00F23D1F"/>
    <w:rsid w:val="00F41CA2"/>
    <w:rsid w:val="00F443C0"/>
    <w:rsid w:val="00F559B9"/>
    <w:rsid w:val="00F62EFB"/>
    <w:rsid w:val="00F939A4"/>
    <w:rsid w:val="00FA7B09"/>
    <w:rsid w:val="00FA7ED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BAFF8"/>
  <w15:chartTrackingRefBased/>
  <w15:docId w15:val="{D70BCA89-BEEA-459E-82B1-74C067AE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D6755"/>
    <w:rPr>
      <w:rFonts w:eastAsia="Calibri"/>
      <w:b/>
      <w:caps/>
      <w:color w:val="000000"/>
      <w:sz w:val="24"/>
    </w:rPr>
  </w:style>
  <w:style w:type="character" w:customStyle="1" w:styleId="SectionBodyChar">
    <w:name w:val="Section Body Char"/>
    <w:link w:val="SectionBody"/>
    <w:rsid w:val="00BD6755"/>
    <w:rPr>
      <w:rFonts w:eastAsia="Calibri"/>
      <w:color w:val="000000"/>
    </w:rPr>
  </w:style>
  <w:style w:type="character" w:customStyle="1" w:styleId="SectionHeadingChar">
    <w:name w:val="Section Heading Char"/>
    <w:link w:val="SectionHeading"/>
    <w:rsid w:val="00BD675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6281E782FB414C99944F42D30DAF2C"/>
        <w:category>
          <w:name w:val="General"/>
          <w:gallery w:val="placeholder"/>
        </w:category>
        <w:types>
          <w:type w:val="bbPlcHdr"/>
        </w:types>
        <w:behaviors>
          <w:behavior w:val="content"/>
        </w:behaviors>
        <w:guid w:val="{D5D3ABC9-9EF0-450C-98AC-6369D668763E}"/>
      </w:docPartPr>
      <w:docPartBody>
        <w:p w:rsidR="001024B0" w:rsidRDefault="001024B0">
          <w:pPr>
            <w:pStyle w:val="BF6281E782FB414C99944F42D30DAF2C"/>
          </w:pPr>
          <w:r w:rsidRPr="00B844FE">
            <w:t>Prefix Text</w:t>
          </w:r>
        </w:p>
      </w:docPartBody>
    </w:docPart>
    <w:docPart>
      <w:docPartPr>
        <w:name w:val="8EA0860A81D745E3B1869143DC65F1EF"/>
        <w:category>
          <w:name w:val="General"/>
          <w:gallery w:val="placeholder"/>
        </w:category>
        <w:types>
          <w:type w:val="bbPlcHdr"/>
        </w:types>
        <w:behaviors>
          <w:behavior w:val="content"/>
        </w:behaviors>
        <w:guid w:val="{262CDC34-55D2-4F3B-8241-06C591974764}"/>
      </w:docPartPr>
      <w:docPartBody>
        <w:p w:rsidR="001024B0" w:rsidRDefault="00663329">
          <w:pPr>
            <w:pStyle w:val="8EA0860A81D745E3B1869143DC65F1EF"/>
          </w:pPr>
          <w:r w:rsidRPr="00B844FE">
            <w:t>[Type here]</w:t>
          </w:r>
        </w:p>
      </w:docPartBody>
    </w:docPart>
    <w:docPart>
      <w:docPartPr>
        <w:name w:val="7CB3AEDF4B3D4054AD8F2F6C2287158A"/>
        <w:category>
          <w:name w:val="General"/>
          <w:gallery w:val="placeholder"/>
        </w:category>
        <w:types>
          <w:type w:val="bbPlcHdr"/>
        </w:types>
        <w:behaviors>
          <w:behavior w:val="content"/>
        </w:behaviors>
        <w:guid w:val="{0AC7E9BF-B9E2-4462-ACA9-D7287CC49864}"/>
      </w:docPartPr>
      <w:docPartBody>
        <w:p w:rsidR="001024B0" w:rsidRDefault="001024B0">
          <w:pPr>
            <w:pStyle w:val="7CB3AEDF4B3D4054AD8F2F6C2287158A"/>
          </w:pPr>
          <w:r w:rsidRPr="00B844FE">
            <w:t>Number</w:t>
          </w:r>
        </w:p>
      </w:docPartBody>
    </w:docPart>
    <w:docPart>
      <w:docPartPr>
        <w:name w:val="E36D9C7452624FB89D954D0C3458E50C"/>
        <w:category>
          <w:name w:val="General"/>
          <w:gallery w:val="placeholder"/>
        </w:category>
        <w:types>
          <w:type w:val="bbPlcHdr"/>
        </w:types>
        <w:behaviors>
          <w:behavior w:val="content"/>
        </w:behaviors>
        <w:guid w:val="{2DE1B246-DF17-4704-A4D4-43DE9A576648}"/>
      </w:docPartPr>
      <w:docPartBody>
        <w:p w:rsidR="001024B0" w:rsidRDefault="001024B0">
          <w:pPr>
            <w:pStyle w:val="E36D9C7452624FB89D954D0C3458E50C"/>
          </w:pPr>
          <w:r w:rsidRPr="00B844FE">
            <w:t>Enter Sponsors Here</w:t>
          </w:r>
        </w:p>
      </w:docPartBody>
    </w:docPart>
    <w:docPart>
      <w:docPartPr>
        <w:name w:val="E3F10838250B43D6AFC204EA0B4565A5"/>
        <w:category>
          <w:name w:val="General"/>
          <w:gallery w:val="placeholder"/>
        </w:category>
        <w:types>
          <w:type w:val="bbPlcHdr"/>
        </w:types>
        <w:behaviors>
          <w:behavior w:val="content"/>
        </w:behaviors>
        <w:guid w:val="{987DA272-DDDF-446E-AEA9-70EFD2554684}"/>
      </w:docPartPr>
      <w:docPartBody>
        <w:p w:rsidR="001024B0" w:rsidRDefault="001024B0">
          <w:pPr>
            <w:pStyle w:val="E3F10838250B43D6AFC204EA0B4565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B0"/>
    <w:rsid w:val="00004182"/>
    <w:rsid w:val="000266FA"/>
    <w:rsid w:val="000D1209"/>
    <w:rsid w:val="001024B0"/>
    <w:rsid w:val="003F5D45"/>
    <w:rsid w:val="005333CA"/>
    <w:rsid w:val="005A01D0"/>
    <w:rsid w:val="005A75B1"/>
    <w:rsid w:val="00663329"/>
    <w:rsid w:val="00A436C4"/>
    <w:rsid w:val="00C94F5F"/>
    <w:rsid w:val="00CD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6281E782FB414C99944F42D30DAF2C">
    <w:name w:val="BF6281E782FB414C99944F42D30DAF2C"/>
  </w:style>
  <w:style w:type="paragraph" w:customStyle="1" w:styleId="8EA0860A81D745E3B1869143DC65F1EF">
    <w:name w:val="8EA0860A81D745E3B1869143DC65F1EF"/>
  </w:style>
  <w:style w:type="paragraph" w:customStyle="1" w:styleId="7CB3AEDF4B3D4054AD8F2F6C2287158A">
    <w:name w:val="7CB3AEDF4B3D4054AD8F2F6C2287158A"/>
  </w:style>
  <w:style w:type="paragraph" w:customStyle="1" w:styleId="E36D9C7452624FB89D954D0C3458E50C">
    <w:name w:val="E36D9C7452624FB89D954D0C3458E50C"/>
  </w:style>
  <w:style w:type="character" w:styleId="PlaceholderText">
    <w:name w:val="Placeholder Text"/>
    <w:basedOn w:val="DefaultParagraphFont"/>
    <w:uiPriority w:val="99"/>
    <w:semiHidden/>
    <w:rsid w:val="00663329"/>
    <w:rPr>
      <w:color w:val="808080"/>
    </w:rPr>
  </w:style>
  <w:style w:type="paragraph" w:customStyle="1" w:styleId="E3F10838250B43D6AFC204EA0B4565A5">
    <w:name w:val="E3F10838250B43D6AFC204EA0B456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2</cp:revision>
  <cp:lastPrinted>2025-03-25T17:20:00Z</cp:lastPrinted>
  <dcterms:created xsi:type="dcterms:W3CDTF">2025-03-25T17:20:00Z</dcterms:created>
  <dcterms:modified xsi:type="dcterms:W3CDTF">2025-03-25T17:20:00Z</dcterms:modified>
</cp:coreProperties>
</file>